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A8" w:rsidRPr="00CD0BA8" w:rsidRDefault="00CD0BA8" w:rsidP="00CD0BA8">
      <w:pPr>
        <w:jc w:val="center"/>
        <w:rPr>
          <w:rFonts w:eastAsia="Calibri" w:cs="Times New Roman"/>
          <w:b/>
          <w:szCs w:val="22"/>
          <w:lang w:eastAsia="ru-RU" w:bidi="en-US"/>
        </w:rPr>
      </w:pPr>
      <w:r w:rsidRPr="00CD0BA8">
        <w:rPr>
          <w:rFonts w:eastAsia="Calibri" w:cs="Times New Roman"/>
          <w:b/>
          <w:szCs w:val="22"/>
          <w:lang w:eastAsia="ru-RU" w:bidi="en-US"/>
        </w:rPr>
        <w:t>Отчет о выполнении плана по противодействию коррупции за</w:t>
      </w:r>
    </w:p>
    <w:p w:rsidR="00CD0BA8" w:rsidRDefault="00CD0BA8" w:rsidP="00CD0BA8">
      <w:pPr>
        <w:jc w:val="center"/>
        <w:rPr>
          <w:rFonts w:eastAsia="Calibri" w:cs="Times New Roman"/>
          <w:b/>
          <w:szCs w:val="22"/>
          <w:lang w:eastAsia="ru-RU" w:bidi="en-US"/>
        </w:rPr>
      </w:pPr>
      <w:r w:rsidRPr="00CD0BA8">
        <w:rPr>
          <w:rFonts w:eastAsia="Calibri" w:cs="Times New Roman"/>
          <w:b/>
          <w:szCs w:val="22"/>
          <w:lang w:val="en-US" w:eastAsia="ru-RU" w:bidi="en-US"/>
        </w:rPr>
        <w:t>I</w:t>
      </w:r>
      <w:r w:rsidR="00E711C9" w:rsidRPr="00CD0BA8">
        <w:rPr>
          <w:rFonts w:eastAsia="Calibri" w:cs="Times New Roman"/>
          <w:b/>
          <w:szCs w:val="22"/>
          <w:lang w:val="en-US" w:eastAsia="ru-RU" w:bidi="en-US"/>
        </w:rPr>
        <w:t>I</w:t>
      </w:r>
      <w:r w:rsidRPr="00CD0BA8">
        <w:rPr>
          <w:rFonts w:eastAsia="Calibri" w:cs="Times New Roman"/>
          <w:b/>
          <w:szCs w:val="22"/>
          <w:lang w:eastAsia="ru-RU" w:bidi="en-US"/>
        </w:rPr>
        <w:t xml:space="preserve"> </w:t>
      </w:r>
      <w:r w:rsidRPr="00CD0BA8">
        <w:rPr>
          <w:rFonts w:eastAsia="Calibri" w:cs="Times New Roman"/>
          <w:b/>
          <w:szCs w:val="22"/>
          <w:lang w:eastAsia="ru-RU" w:bidi="en-US"/>
        </w:rPr>
        <w:t>полугодие 2019 года в управе района Северный города Москвы</w:t>
      </w:r>
    </w:p>
    <w:p w:rsidR="00E711C9" w:rsidRDefault="00E711C9" w:rsidP="00CD0BA8">
      <w:pPr>
        <w:jc w:val="center"/>
        <w:rPr>
          <w:rFonts w:eastAsia="Calibri" w:cs="Times New Roman"/>
          <w:b/>
          <w:szCs w:val="22"/>
          <w:lang w:eastAsia="ru-RU" w:bidi="en-US"/>
        </w:rPr>
      </w:pPr>
    </w:p>
    <w:p w:rsidR="00E711C9" w:rsidRPr="00E711C9" w:rsidRDefault="00FE5A06" w:rsidP="00E711C9">
      <w:pPr>
        <w:pStyle w:val="a4"/>
        <w:ind w:firstLine="708"/>
      </w:pPr>
      <w:r>
        <w:t xml:space="preserve">1. </w:t>
      </w:r>
      <w:r w:rsidR="00E711C9" w:rsidRPr="00E711C9">
        <w:t>Во исполнение Федерального закона от 25 декабря 2008 года № 273-ФЗ «О противодействии коррупции», Федерального закона от 27 июля 2004 года № 79-ФЗ «О государственной гражданской службе Российской Федерации», Закона города Москвы от 26 января 2005 года № 3 «О государственной гражданской службе города Москвы», в целях совершенствования работы по противодействию коррупции в управе района предприняты следующие шаги:</w:t>
      </w:r>
    </w:p>
    <w:p w:rsidR="00E711C9" w:rsidRDefault="00E711C9" w:rsidP="00E711C9">
      <w:pPr>
        <w:pStyle w:val="a4"/>
      </w:pPr>
      <w:r w:rsidRPr="00E711C9">
        <w:t>- При подготовке распорядительных документов исключены положения, допускающие неоднозначное толкование или индивидуальную трактовку государственными гражданскими служащими и приводящие к их к интерпретаци</w:t>
      </w:r>
      <w:r w:rsidRPr="00E711C9">
        <w:t xml:space="preserve">и коррупционной направленности.                           </w:t>
      </w:r>
    </w:p>
    <w:p w:rsidR="00FE5A06" w:rsidRDefault="00E711C9" w:rsidP="00E711C9">
      <w:pPr>
        <w:pStyle w:val="a4"/>
      </w:pPr>
      <w:r w:rsidRPr="00E711C9">
        <w:t xml:space="preserve">- </w:t>
      </w:r>
      <w:r w:rsidRPr="00E711C9">
        <w:t>Сведения о доходах, имуществах и обязательствах имущественного характера на лиц, замещающих должности государственной гражданской службы города Москвы, супругу (супруга) и несовершеннолетних членов семьи в соответствии с действующими федеральными законами, и иными нормативными правовыми актами города Москвы и сведения о расходах за 201</w:t>
      </w:r>
      <w:r w:rsidRPr="00E711C9">
        <w:t>8</w:t>
      </w:r>
      <w:r w:rsidRPr="00E711C9">
        <w:t xml:space="preserve"> год были предоставлены своевременно и размещены на сайте управы района </w:t>
      </w:r>
      <w:r w:rsidRPr="00E711C9">
        <w:t>Северный</w:t>
      </w:r>
      <w:r w:rsidRPr="00E711C9">
        <w:t xml:space="preserve"> города Москвы.</w:t>
      </w:r>
      <w:r w:rsidRPr="00E711C9">
        <w:br/>
        <w:t xml:space="preserve">- В управе района </w:t>
      </w:r>
      <w:r w:rsidRPr="00E711C9">
        <w:t>Северный</w:t>
      </w:r>
      <w:r w:rsidRPr="00E711C9">
        <w:t xml:space="preserve"> города Москвы функционирует комиссия по соблюдению требований к служебному поведению гражданских служащих и урегулированию конфликтов интересов, </w:t>
      </w:r>
      <w:r w:rsidRPr="00E711C9">
        <w:t>комиссии по противодействию коррупции управы района Северный</w:t>
      </w:r>
      <w:r w:rsidRPr="00E711C9">
        <w:t xml:space="preserve">, также утвержден план по противодействию коррупции. </w:t>
      </w:r>
      <w:r w:rsidRPr="00E711C9">
        <w:t xml:space="preserve">                                                                                 </w:t>
      </w:r>
    </w:p>
    <w:p w:rsidR="00FE5A06" w:rsidRDefault="00E711C9" w:rsidP="00FE5A06">
      <w:pPr>
        <w:pStyle w:val="a4"/>
        <w:ind w:firstLine="708"/>
      </w:pPr>
      <w:r w:rsidRPr="00E711C9">
        <w:t>В</w:t>
      </w:r>
      <w:r w:rsidRPr="00E711C9">
        <w:t xml:space="preserve"> своей деятельности управа района руководствуется принципами открытости, гласности и прозрачности.</w:t>
      </w:r>
    </w:p>
    <w:p w:rsidR="00FE5A06" w:rsidRDefault="00E711C9" w:rsidP="00FE5A06">
      <w:pPr>
        <w:pStyle w:val="a4"/>
        <w:ind w:firstLine="708"/>
      </w:pPr>
      <w:r w:rsidRPr="00E711C9">
        <w:t xml:space="preserve">Во втором полугодии 2019г. обращений по коррупционным правонарушениям от граждан в управу района </w:t>
      </w:r>
      <w:r w:rsidRPr="00E711C9">
        <w:t>Северный</w:t>
      </w:r>
      <w:r w:rsidRPr="00E711C9">
        <w:t xml:space="preserve"> города Москвы не поступало.</w:t>
      </w:r>
    </w:p>
    <w:p w:rsidR="00FE5A06" w:rsidRDefault="00E711C9" w:rsidP="00FE5A06">
      <w:pPr>
        <w:pStyle w:val="a4"/>
        <w:ind w:firstLine="708"/>
      </w:pPr>
      <w:r w:rsidRPr="00E711C9">
        <w:t xml:space="preserve">В отчетном периоде коррупционных преступлений не выявлено, к уголовной ответственности за совершение коррупционных преступлений сотрудники управы района </w:t>
      </w:r>
      <w:r w:rsidRPr="00E711C9">
        <w:t>Северный</w:t>
      </w:r>
      <w:r w:rsidRPr="00E711C9">
        <w:t xml:space="preserve"> не привлекались.</w:t>
      </w:r>
    </w:p>
    <w:p w:rsidR="00FE5A06" w:rsidRDefault="00E711C9" w:rsidP="00FE5A06">
      <w:pPr>
        <w:pStyle w:val="a4"/>
        <w:ind w:firstLine="708"/>
      </w:pPr>
      <w:r w:rsidRPr="00E711C9">
        <w:t>2. В соответствии с планом комиссии по противодействию коррупции поставлены основные задачи.</w:t>
      </w:r>
    </w:p>
    <w:p w:rsidR="00FE5A06" w:rsidRDefault="00FE5A06" w:rsidP="00FE5A06">
      <w:pPr>
        <w:pStyle w:val="a4"/>
        <w:ind w:firstLine="708"/>
      </w:pPr>
      <w:r w:rsidRPr="00E711C9">
        <w:t xml:space="preserve"> </w:t>
      </w:r>
      <w:r w:rsidR="00E711C9" w:rsidRPr="00E711C9">
        <w:t>За прошедший период проведены следующие мероприятия по предотвращению конфликта интересов на государственной службе:</w:t>
      </w:r>
      <w:r w:rsidR="00E711C9" w:rsidRPr="00E711C9">
        <w:br/>
        <w:t>- Ежеквартально проводятся заседания рабочей группы с ответственными лицами по профилактике коррупционных и иных правонарушений.</w:t>
      </w:r>
      <w:r w:rsidR="00E711C9" w:rsidRPr="00E711C9">
        <w:br/>
        <w:t>- На постоянной основе осуществляется анализ письменных обращений граждан с целью выявления коррупционных или иных правонарушений, совершенных государственными гражданскими служащими.</w:t>
      </w:r>
    </w:p>
    <w:p w:rsidR="00FE5A06" w:rsidRDefault="00FE5A06" w:rsidP="00FE5A06">
      <w:pPr>
        <w:pStyle w:val="a4"/>
      </w:pPr>
      <w:r w:rsidRPr="00E711C9">
        <w:t xml:space="preserve"> </w:t>
      </w:r>
      <w:r w:rsidR="00E711C9" w:rsidRPr="00E711C9">
        <w:t>- На постоянной основе осуществляется контроль за выполнением Плана мероприятий по противодействию коррупции в сфере ЖКХ.</w:t>
      </w:r>
      <w:r w:rsidR="00E711C9" w:rsidRPr="00E711C9">
        <w:br/>
        <w:t>- За текущий период 2019 года уведомлений от служащих отдела ЖКХ,</w:t>
      </w:r>
      <w:r w:rsidR="00E711C9" w:rsidRPr="00E711C9">
        <w:t xml:space="preserve"> </w:t>
      </w:r>
      <w:r w:rsidR="00E711C9" w:rsidRPr="00E711C9">
        <w:t>о фактах обращений в целях склонения их к совершению коррупционных правонарушений не поступало.</w:t>
      </w:r>
    </w:p>
    <w:p w:rsidR="00FE5A06" w:rsidRDefault="00FE5A06" w:rsidP="00FE5A06">
      <w:pPr>
        <w:pStyle w:val="a4"/>
      </w:pPr>
      <w:r w:rsidRPr="00E711C9">
        <w:t xml:space="preserve"> </w:t>
      </w:r>
      <w:r w:rsidR="00E711C9" w:rsidRPr="00E711C9">
        <w:t>- В повседневной работе формируется негативное восприятие коррупции и отрицательного отношения к дарению подарков в связи с занимаемым положением или с исполняемыми служебными обязанностями у государственных гражданских служащих.</w:t>
      </w:r>
    </w:p>
    <w:p w:rsidR="00FE5A06" w:rsidRDefault="00FE5A06" w:rsidP="00FE5A06">
      <w:pPr>
        <w:pStyle w:val="a4"/>
      </w:pPr>
      <w:r w:rsidRPr="00E711C9">
        <w:t xml:space="preserve"> </w:t>
      </w:r>
      <w:r w:rsidR="00E711C9" w:rsidRPr="00E711C9">
        <w:t xml:space="preserve">3. Ежемесячно нормативные правовые акты управы района </w:t>
      </w:r>
      <w:r w:rsidR="00E711C9" w:rsidRPr="00E711C9">
        <w:t>Северный</w:t>
      </w:r>
      <w:r w:rsidR="00E711C9" w:rsidRPr="00E711C9">
        <w:t xml:space="preserve"> направляются в </w:t>
      </w:r>
      <w:r w:rsidR="00E711C9" w:rsidRPr="00E711C9">
        <w:t>Бутырскую</w:t>
      </w:r>
      <w:r w:rsidR="00E711C9" w:rsidRPr="00E711C9">
        <w:t xml:space="preserve"> межрайонную прокуратуру для проверки на соответствие требованиям федеральных законов и нормативных правовых актов по вопросам противодействия коррупции.</w:t>
      </w:r>
    </w:p>
    <w:p w:rsidR="00E711C9" w:rsidRPr="00E711C9" w:rsidRDefault="00FE5A06" w:rsidP="00FE5A06">
      <w:pPr>
        <w:pStyle w:val="a4"/>
      </w:pPr>
      <w:r w:rsidRPr="00E711C9">
        <w:t xml:space="preserve"> </w:t>
      </w:r>
      <w:r w:rsidR="00E711C9" w:rsidRPr="00E711C9">
        <w:t xml:space="preserve">- Для обеспечения гражданам и юридическим лицам возможности сообщения о коррупционных факторах существует телефон круглосуточной «горячей линии» </w:t>
      </w:r>
      <w:r w:rsidR="00E711C9" w:rsidRPr="00E711C9">
        <w:t>и обратная связь на сайте.</w:t>
      </w:r>
    </w:p>
    <w:p w:rsidR="00FE5A06" w:rsidRDefault="00E711C9" w:rsidP="00FE5A06">
      <w:pPr>
        <w:pStyle w:val="a4"/>
        <w:ind w:firstLine="708"/>
      </w:pPr>
      <w:r w:rsidRPr="00E711C9">
        <w:t xml:space="preserve">В управе района </w:t>
      </w:r>
      <w:r w:rsidRPr="00E711C9">
        <w:t>Северный</w:t>
      </w:r>
      <w:r w:rsidRPr="00E711C9">
        <w:t xml:space="preserve"> обеспечен беспрепятственный доступ населения к информации о деятельности управы – официальный сайт управы района, информационные стенды, районная газета «Звездный бульвар».</w:t>
      </w:r>
    </w:p>
    <w:p w:rsidR="00E711C9" w:rsidRPr="00E711C9" w:rsidRDefault="00FE5A06" w:rsidP="00FE5A06">
      <w:pPr>
        <w:pStyle w:val="a4"/>
        <w:ind w:firstLine="708"/>
      </w:pPr>
      <w:r w:rsidRPr="00E711C9">
        <w:t xml:space="preserve"> </w:t>
      </w:r>
      <w:r w:rsidR="00E711C9" w:rsidRPr="00E711C9">
        <w:t xml:space="preserve">На сайте управы района </w:t>
      </w:r>
      <w:r w:rsidRPr="00E711C9">
        <w:t>Северный</w:t>
      </w:r>
      <w:r w:rsidR="00E711C9" w:rsidRPr="00E711C9">
        <w:t xml:space="preserve"> в разделе «О противодействии коррупции» с целью информирования населения размещены нормативные документы Правительства Российской Федерации, Правительства Москвы в сфере противодействия коррупции, нормативные правовые акты Мэра Москвы для проведения независимой антикоррупционной экспертизы и получения сигналов о коррупции.</w:t>
      </w:r>
    </w:p>
    <w:p w:rsidR="00E711C9" w:rsidRPr="00E711C9" w:rsidRDefault="00E711C9" w:rsidP="00E711C9">
      <w:pPr>
        <w:pStyle w:val="a4"/>
        <w:rPr>
          <w:rFonts w:eastAsia="Calibri"/>
          <w:b/>
          <w:lang w:eastAsia="ru-RU" w:bidi="en-US"/>
        </w:rPr>
      </w:pPr>
    </w:p>
    <w:p w:rsidR="00CD0BA8" w:rsidRPr="00E711C9" w:rsidRDefault="00CD0BA8" w:rsidP="00E711C9">
      <w:pPr>
        <w:pStyle w:val="a4"/>
        <w:rPr>
          <w:rFonts w:eastAsia="Calibri"/>
          <w:lang w:eastAsia="ru-RU" w:bidi="en-US"/>
        </w:rPr>
      </w:pPr>
    </w:p>
    <w:p w:rsidR="00CD0BA8" w:rsidRPr="00E711C9" w:rsidRDefault="00CD0BA8" w:rsidP="00E711C9">
      <w:pPr>
        <w:pStyle w:val="a4"/>
        <w:rPr>
          <w:rFonts w:eastAsia="Calibri"/>
          <w:lang w:bidi="en-US"/>
        </w:rPr>
      </w:pPr>
    </w:p>
    <w:p w:rsidR="00005B25" w:rsidRPr="00E711C9" w:rsidRDefault="00005B25" w:rsidP="00E711C9">
      <w:pPr>
        <w:pStyle w:val="a4"/>
      </w:pPr>
    </w:p>
    <w:sectPr w:rsidR="00005B25" w:rsidRPr="00E711C9" w:rsidSect="006A7E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A8"/>
    <w:rsid w:val="00005B25"/>
    <w:rsid w:val="00CD0BA8"/>
    <w:rsid w:val="00E566FF"/>
    <w:rsid w:val="00E711C9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BFB9"/>
  <w15:chartTrackingRefBased/>
  <w15:docId w15:val="{E815BBB0-B9C2-4B6A-82D0-23B03327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1C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71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Тороян Альбина Галимзяновна</dc:creator>
  <cp:keywords/>
  <dc:description/>
  <cp:lastModifiedBy>Тороян Альбина Галимзяновна</cp:lastModifiedBy>
  <cp:revision>2</cp:revision>
  <dcterms:created xsi:type="dcterms:W3CDTF">2020-03-20T12:01:00Z</dcterms:created>
  <dcterms:modified xsi:type="dcterms:W3CDTF">2020-03-20T12:01:00Z</dcterms:modified>
</cp:coreProperties>
</file>